
<file path=[Content_Types].xml><?xml version="1.0" encoding="utf-8"?>
<Types xmlns="http://schemas.openxmlformats.org/package/2006/content-types"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>
          <w:color w:val="C00000"/>
          <w:sz w:val="36"/>
          <w:i/>
          <w:b/>
        </w:rPr>
        <w:t>Substanzgruppen</w:t>
      </w:r>
    </w:p>
    <w:p>
      <w:pPr>
        <w:pStyle w:val="style0"/>
        <w:spacing w:line="360" w:lineRule="atLeast"/>
      </w:pPr>
      <w:r>
        <w:rPr>
          <w:sz w:val="24"/>
          <w:b/>
          <w:szCs w:val="24"/>
        </w:rPr>
        <w:t>Klassische Substanzen</w:t>
      </w:r>
    </w:p>
    <w:p>
      <w:pPr>
        <w:pStyle w:val="style0"/>
        <w:jc w:val="both"/>
        <w:spacing w:line="360" w:lineRule="atLeast"/>
      </w:pPr>
      <w:r>
        <w:rPr>
          <w:sz w:val="24"/>
          <w:szCs w:val="24"/>
        </w:rPr>
        <w:t>In dem Analysegerät Apo-Ident werden verschiedene klassische Substanzgruppen unterschieden. Feste Stoffe sind in der Gruppe „Klassisch Pulver“ enthalten. Flüssige bzw. pastöse Stoffe sind in der Gruppe „Klassisch Flüssig/Salben“  zusammengefasst. Alle herkömmlich in der Apotheke vorkommenden Ausgangsstoffe (auch vorgefertigte Salbengrundlagen), die nicht Bestandteil einer der nachfolgenden Substanzgruppen sind, wurden einer dieser beiden Gruppen zugeordnet.</w:t>
      </w:r>
    </w:p>
    <w:p>
      <w:pPr>
        <w:pStyle w:val="style0"/>
        <w:jc w:val="both"/>
        <w:spacing w:line="360" w:lineRule="atLeast"/>
      </w:pPr>
      <w:r>
        <w:rPr>
          <w:sz w:val="24"/>
          <w:b/>
          <w:szCs w:val="24"/>
        </w:rPr>
        <w:t>Europäische Kräuter</w:t>
      </w:r>
    </w:p>
    <w:p>
      <w:pPr>
        <w:pStyle w:val="style0"/>
        <w:jc w:val="both"/>
        <w:spacing w:line="360" w:lineRule="atLeast"/>
      </w:pPr>
      <w:r>
        <w:rPr>
          <w:sz w:val="24"/>
          <w:szCs w:val="24"/>
        </w:rPr>
        <w:t>Europäische Kräuter sind Kräuter und Teedrogen der westlichen Medizin mit medizinisch wirksamen Bestandteilen.</w:t>
      </w:r>
    </w:p>
    <w:p>
      <w:pPr>
        <w:pStyle w:val="style0"/>
        <w:jc w:val="both"/>
        <w:spacing w:line="360" w:lineRule="atLeast"/>
      </w:pPr>
      <w:r>
        <w:rPr>
          <w:sz w:val="24"/>
          <w:b/>
          <w:szCs w:val="24"/>
        </w:rPr>
        <w:t xml:space="preserve">Betäubungsmittel </w:t>
      </w:r>
      <w:r>
        <w:rPr>
          <w:sz w:val="24"/>
          <w:szCs w:val="24"/>
        </w:rPr>
        <w:t>(BTM)</w:t>
      </w:r>
    </w:p>
    <w:p>
      <w:pPr>
        <w:pStyle w:val="style0"/>
        <w:jc w:val="both"/>
        <w:spacing w:line="360" w:lineRule="atLeast"/>
      </w:pPr>
      <w:r>
        <w:rPr>
          <w:sz w:val="24"/>
          <w:szCs w:val="24"/>
        </w:rPr>
        <w:t>Betäubungsmittel sind alle Stoffe die im Betäubungsmittelgeset</w:t>
      </w:r>
      <w:bookmarkStart w:id="0" w:name="_GoBack"/>
      <w:bookmarkEnd w:id="0"/>
      <w:r>
        <w:rPr>
          <w:sz w:val="24"/>
          <w:szCs w:val="24"/>
        </w:rPr>
        <w:t>z (BtMG) in den Anlagen I bis III aufgeführt werden. Betäubungsmittel werden meist benutzt, um Schmerzen von Patienten für die Dauer einer Behandlung auszuschalten. Die Medizin verwendet den Begriff Analgetikum (Mehrzahl = Analgetika).</w:t>
      </w:r>
    </w:p>
    <w:p>
      <w:pPr>
        <w:pStyle w:val="style0"/>
        <w:jc w:val="both"/>
        <w:spacing w:line="360" w:lineRule="atLeast"/>
      </w:pPr>
      <w:r>
        <w:rPr>
          <w:sz w:val="24"/>
          <w:b/>
          <w:szCs w:val="24"/>
        </w:rPr>
        <w:t>TCM-Granulate</w:t>
      </w:r>
      <w:r>
        <w:rPr>
          <w:sz w:val="24"/>
          <w:szCs w:val="24"/>
        </w:rPr>
        <w:t xml:space="preserve"> (Traditionell Chinesische Medizin)</w:t>
      </w:r>
    </w:p>
    <w:p>
      <w:pPr>
        <w:pStyle w:val="style0"/>
        <w:jc w:val="both"/>
        <w:spacing w:line="360" w:lineRule="atLeast"/>
      </w:pPr>
      <w:r>
        <w:rPr>
          <w:sz w:val="24"/>
          <w:szCs w:val="24"/>
        </w:rPr>
        <w:t xml:space="preserve">TCM-Granulate sind Konzentrate der </w:t>
      </w:r>
      <w:r>
        <w:rPr>
          <w:sz w:val="24"/>
          <w:szCs w:val="24"/>
          <w:iCs/>
        </w:rPr>
        <w:t>Rohdroge</w:t>
      </w:r>
      <w:r>
        <w:rPr>
          <w:sz w:val="24"/>
          <w:szCs w:val="24"/>
        </w:rPr>
        <w:t>, die nach dem Auszug aus der Pflanze auf eine Trägersubstanz aufgebracht wurden. Für Apo-Ident gibt es Referenzdatenbanken folgender Hersteller:</w:t>
      </w:r>
    </w:p>
    <w:p>
      <w:pPr>
        <w:pStyle w:val="style29"/>
        <w:numPr>
          <w:ilvl w:val="0"/>
          <w:numId w:val="1"/>
        </w:numPr>
        <w:jc w:val="both"/>
        <w:spacing w:line="360" w:lineRule="atLeast"/>
      </w:pPr>
      <w:r>
        <w:rPr>
          <w:sz w:val="24"/>
          <w:szCs w:val="24"/>
        </w:rPr>
        <w:t>HerbaSinica</w:t>
      </w:r>
    </w:p>
    <w:p>
      <w:pPr>
        <w:pStyle w:val="style29"/>
        <w:numPr>
          <w:ilvl w:val="0"/>
          <w:numId w:val="1"/>
        </w:numPr>
        <w:jc w:val="both"/>
        <w:spacing w:line="360" w:lineRule="atLeast"/>
      </w:pPr>
      <w:r>
        <w:rPr>
          <w:sz w:val="24"/>
          <w:szCs w:val="24"/>
        </w:rPr>
        <w:t>ChinaMedica</w:t>
      </w:r>
    </w:p>
    <w:p>
      <w:pPr>
        <w:pStyle w:val="style29"/>
        <w:numPr>
          <w:ilvl w:val="0"/>
          <w:numId w:val="1"/>
        </w:numPr>
        <w:jc w:val="both"/>
        <w:spacing w:line="360" w:lineRule="atLeast"/>
      </w:pPr>
      <w:r>
        <w:rPr>
          <w:sz w:val="24"/>
          <w:szCs w:val="24"/>
        </w:rPr>
        <w:t>PhytoComm</w:t>
      </w:r>
    </w:p>
    <w:p>
      <w:pPr>
        <w:pStyle w:val="style0"/>
        <w:jc w:val="both"/>
        <w:spacing w:line="360" w:lineRule="atLeast"/>
      </w:pPr>
      <w:r>
        <w:rPr>
          <w:rStyle w:val="style20"/>
          <w:sz w:val="24"/>
          <w:szCs w:val="24"/>
        </w:rPr>
        <w:t>Weitere Hersteller auf Anfrage.</w:t>
      </w:r>
    </w:p>
    <w:p>
      <w:pPr>
        <w:pStyle w:val="style0"/>
      </w:pPr>
      <w:r>
        <w:rPr>
          <w:sz w:val="24"/>
          <w:b/>
          <w:szCs w:val="24"/>
        </w:rPr>
      </w:r>
    </w:p>
    <w:p>
      <w:pPr>
        <w:pStyle w:val="style0"/>
        <w:jc w:val="both"/>
        <w:pageBreakBefore/>
        <w:spacing w:line="360" w:lineRule="atLeast"/>
      </w:pPr>
      <w:r>
        <w:rPr>
          <w:sz w:val="24"/>
          <w:b/>
          <w:szCs w:val="24"/>
        </w:rPr>
        <w:t xml:space="preserve">TCM-Rohdrogen </w:t>
      </w:r>
      <w:r>
        <w:rPr>
          <w:sz w:val="24"/>
          <w:szCs w:val="24"/>
        </w:rPr>
        <w:t xml:space="preserve"> (Traditionell Chinesische Medizin)</w:t>
      </w:r>
    </w:p>
    <w:p>
      <w:pPr>
        <w:pStyle w:val="style29"/>
        <w:numPr>
          <w:ilvl w:val="0"/>
          <w:numId w:val="1"/>
        </w:numPr>
        <w:jc w:val="both"/>
        <w:spacing w:line="360" w:lineRule="atLeast"/>
      </w:pPr>
      <w:r>
        <w:rPr>
          <w:sz w:val="24"/>
          <w:szCs w:val="24"/>
        </w:rPr>
        <w:t>HerbaSinica</w:t>
      </w:r>
    </w:p>
    <w:p>
      <w:pPr>
        <w:pStyle w:val="style29"/>
        <w:numPr>
          <w:ilvl w:val="0"/>
          <w:numId w:val="1"/>
        </w:numPr>
        <w:jc w:val="both"/>
        <w:spacing w:line="360" w:lineRule="atLeast"/>
      </w:pPr>
      <w:r>
        <w:rPr>
          <w:sz w:val="24"/>
          <w:szCs w:val="24"/>
        </w:rPr>
        <w:t>ChinaMedica</w:t>
      </w:r>
    </w:p>
    <w:p>
      <w:pPr>
        <w:pStyle w:val="style0"/>
        <w:jc w:val="both"/>
        <w:spacing w:line="360" w:lineRule="atLeast"/>
      </w:pPr>
      <w:r>
        <w:rPr>
          <w:rStyle w:val="style20"/>
          <w:sz w:val="24"/>
          <w:szCs w:val="24"/>
        </w:rPr>
        <w:t>Weitere Hersteller auf Anfrage.</w:t>
      </w:r>
    </w:p>
    <w:p>
      <w:pPr>
        <w:pStyle w:val="style0"/>
        <w:jc w:val="both"/>
        <w:spacing w:line="360" w:lineRule="atLeast"/>
      </w:pPr>
      <w:r>
        <w:rPr>
          <w:sz w:val="24"/>
          <w:b/>
          <w:szCs w:val="24"/>
        </w:rPr>
        <w:t>HCK®-Mikronährstoffe</w:t>
      </w:r>
    </w:p>
    <w:p>
      <w:pPr>
        <w:pStyle w:val="style0"/>
        <w:jc w:val="both"/>
        <w:spacing w:line="360" w:lineRule="atLeast"/>
      </w:pPr>
      <w:r>
        <w:rPr>
          <w:sz w:val="24"/>
          <w:szCs w:val="24"/>
        </w:rPr>
        <w:t>HCK®-Mikronährstoffe sind Vitamine, Mineralien, Spurenelemente, Bioflavonoide und Aminosäuren, die in einen pflanzlichen Trägerstoff, dem Guarkernmehl  (hochquellfähiger Ballaststoff), eingearbeitet werden. Der Trägerstoff bewirkt, dass die Mikronährstoffe über 4-6 Stunden kontinuierlich an den Körper abgegeben werden. Daraus ergibt sich ein völlig neuartiges High-Tech-Produkt, das in Deutschland durch die Unisan GmbH vertrieben wird.</w:t>
      </w:r>
    </w:p>
    <w:p>
      <w:pPr>
        <w:pStyle w:val="style0"/>
        <w:jc w:val="both"/>
        <w:spacing w:line="360" w:lineRule="atLeast"/>
      </w:pPr>
      <w:r>
        <w:rPr/>
      </w:r>
    </w:p>
    <w:p>
      <w:pPr>
        <w:pStyle w:val="style0"/>
        <w:spacing w:line="360" w:lineRule="atLeast"/>
      </w:pPr>
      <w:r>
        <w:rPr/>
      </w:r>
    </w:p>
    <w:p>
      <w:pPr>
        <w:pStyle w:val="style0"/>
        <w:spacing w:line="360" w:lineRule="atLeast"/>
      </w:pPr>
      <w:r>
        <w:rPr/>
      </w:r>
    </w:p>
    <w:p>
      <w:pPr>
        <w:pStyle w:val="style0"/>
        <w:jc w:val="center"/>
        <w:spacing w:line="360" w:lineRule="atLeast"/>
      </w:pPr>
      <w:r>
        <w:rPr>
          <w:sz w:val="24"/>
          <w:szCs w:val="24"/>
        </w:rPr>
        <w:t>Bei Fragen oder Problemen wenden Sie sich bitte an:</w:t>
      </w:r>
    </w:p>
    <w:p>
      <w:pPr>
        <w:pStyle w:val="style0"/>
        <w:jc w:val="center"/>
        <w:spacing w:line="360" w:lineRule="atLeast"/>
      </w:pPr>
      <w:r>
        <w:rPr>
          <w:sz w:val="24"/>
          <w:b/>
          <w:szCs w:val="24"/>
        </w:rPr>
        <w:t>kundenservice@apo-ident.de oder telefonisch unter +49 (0) 351 212 496 33</w:t>
      </w:r>
    </w:p>
    <w:p>
      <w:pPr>
        <w:pStyle w:val="style0"/>
        <w:spacing w:line="360" w:lineRule="atLeast"/>
      </w:pPr>
      <w:r>
        <w:rPr/>
      </w:r>
    </w:p>
    <w:sectPr>
      <w:formProt w:val="off"/>
      <w:pgSz w:h="16838" w:w="11906"/>
      <w:docGrid w:charSpace="4096" w:linePitch="240" w:type="default"/>
      <w:textDirection w:val="lrTb"/>
      <w:pgNumType w:fmt="decimal"/>
      <w:type w:val="nextPage"/>
      <w:headerReference r:id="rId2" w:type="default"/>
      <w:footerReference r:id="rId3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footer1.xml><?xml version="1.0" encoding="utf-8"?>
<w:ftr xmlns:w="http://schemas.openxmlformats.org/wordprocessingml/2006/main">
  <w:p>
    <w:pPr>
      <w:pStyle w:val="style31"/>
    </w:pPr>
    <w:r>
      <w:rPr>
        <w:color w:val="808080"/>
        <w:bCs/>
        <w:rFonts w:ascii="Arial" w:cs="Arial" w:eastAsia="Times New Roman" w:hAnsi="Arial"/>
      </w:rPr>
      <w:t xml:space="preserve">© </w:t>
    </w:r>
    <w:r>
      <w:rPr>
        <w:color w:val="808080"/>
        <w:sz w:val="20"/>
        <w:bCs/>
        <w:rFonts w:ascii="Arial" w:cs="Arial" w:eastAsia="Times New Roman" w:hAnsi="Arial"/>
      </w:rPr>
      <w:t>HiperScan GmbH</w:t>
    </w:r>
  </w:p>
</w:ftr>
</file>

<file path=word/header1.xml><?xml version="1.0" encoding="utf-8"?>
<w:hdr xmlns:w="http://schemas.openxmlformats.org/wordprocessingml/2006/main">
  <w:p>
    <w:pPr>
      <w:pStyle w:val="style0"/>
    </w:pPr>
    <w:r>
      <w:rPr>
        <w:sz w:val="24"/>
        <w:b/>
        <w:szCs w:val="24"/>
      </w:rPr>
      <w:t>Beschreibung der Substanzgruppen</w:t>
    </w:r>
    <w:r>
      <w:rPr>
        <w:sz w:val="32"/>
        <w:b/>
      </w:rPr>
      <w:t xml:space="preserve"> </w:t>
    </w:r>
  </w:p>
</w:hdr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Jc w:val="left"/>
      <w:lvlText w:val=""/>
      <w:pPr>
        <w:ind w:hanging="360" w:left="720"/>
      </w:pPr>
      <w:rPr>
        <w:rFonts w:ascii="Symbol" w:cs="Symbol" w:hAnsi="Symbol" w:hint="default"/>
      </w:rPr>
    </w:lvl>
    <w:lvl w:ilvl="1">
      <w:start w:val="1"/>
      <w:numFmt w:val="bullet"/>
      <w:lvlJc w:val="left"/>
      <w:lvlText w:val="o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Jc w:val="left"/>
      <w:lvlText w:val="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de-DE"/>
    </w:rPr>
  </w:style>
  <w:style w:styleId="style15" w:type="character">
    <w:name w:val="Default Paragraph Font"/>
    <w:next w:val="style15"/>
    <w:rPr/>
  </w:style>
  <w:style w:styleId="style16" w:type="character">
    <w:name w:val="Internet Link"/>
    <w:basedOn w:val="style15"/>
    <w:next w:val="style16"/>
    <w:rPr>
      <w:color w:val="0000FF"/>
      <w:u w:val="single"/>
      <w:lang w:bidi="en-US" w:eastAsia="en-US" w:val="en-US"/>
    </w:rPr>
  </w:style>
  <w:style w:styleId="style17" w:type="character">
    <w:name w:val="Kopfzeile Zchn"/>
    <w:basedOn w:val="style15"/>
    <w:next w:val="style17"/>
    <w:rPr/>
  </w:style>
  <w:style w:styleId="style18" w:type="character">
    <w:name w:val="Fußzeile Zchn"/>
    <w:basedOn w:val="style15"/>
    <w:next w:val="style18"/>
    <w:rPr/>
  </w:style>
  <w:style w:styleId="style19" w:type="character">
    <w:name w:val="Sprechblasentext Zchn"/>
    <w:basedOn w:val="style15"/>
    <w:next w:val="style19"/>
    <w:rPr/>
  </w:style>
  <w:style w:styleId="style20" w:type="character">
    <w:name w:val="st"/>
    <w:basedOn w:val="style15"/>
    <w:next w:val="style20"/>
    <w:rPr/>
  </w:style>
  <w:style w:styleId="style21" w:type="character">
    <w:name w:val="Emphasis"/>
    <w:basedOn w:val="style15"/>
    <w:next w:val="style21"/>
    <w:rPr>
      <w:i/>
      <w:iCs/>
    </w:rPr>
  </w:style>
  <w:style w:styleId="style22" w:type="character">
    <w:name w:val="ListLabel 1"/>
    <w:next w:val="style22"/>
    <w:rPr>
      <w:rFonts w:cs="Courier New"/>
    </w:rPr>
  </w:style>
  <w:style w:styleId="style23" w:type="character">
    <w:name w:val="ListLabel 2"/>
    <w:next w:val="style23"/>
    <w:rPr>
      <w:rFonts w:cs="Calibri"/>
    </w:rPr>
  </w:style>
  <w:style w:styleId="style24" w:type="paragraph">
    <w:name w:val="Heading"/>
    <w:basedOn w:val="style0"/>
    <w:next w:val="style25"/>
    <w:pPr>
      <w:keepNext/>
      <w:spacing w:after="120" w:before="240"/>
    </w:pPr>
    <w:rPr>
      <w:sz w:val="28"/>
      <w:szCs w:val="28"/>
      <w:rFonts w:ascii="Liberation Sans" w:cs="DejaVu Sans" w:eastAsia="DejaVu Sans" w:hAnsi="Liberation Sans"/>
    </w:rPr>
  </w:style>
  <w:style w:styleId="style25" w:type="paragraph">
    <w:name w:val="Text body"/>
    <w:basedOn w:val="style0"/>
    <w:next w:val="style25"/>
    <w:pPr>
      <w:spacing w:after="120" w:before="0"/>
    </w:pPr>
    <w:rPr/>
  </w:style>
  <w:style w:styleId="style26" w:type="paragraph">
    <w:name w:val="List"/>
    <w:basedOn w:val="style25"/>
    <w:next w:val="style26"/>
    <w:pPr/>
    <w:rPr/>
  </w:style>
  <w:style w:styleId="style27" w:type="paragraph">
    <w:name w:val="Caption"/>
    <w:basedOn w:val="style0"/>
    <w:next w:val="style27"/>
    <w:pPr>
      <w:suppressLineNumbers/>
      <w:spacing w:after="120" w:before="120"/>
    </w:pPr>
    <w:rPr>
      <w:sz w:val="24"/>
      <w:i/>
      <w:szCs w:val="24"/>
      <w:iCs/>
    </w:rPr>
  </w:style>
  <w:style w:styleId="style28" w:type="paragraph">
    <w:name w:val="Index"/>
    <w:basedOn w:val="style0"/>
    <w:next w:val="style28"/>
    <w:pPr>
      <w:suppressLineNumbers/>
    </w:pPr>
    <w:rPr/>
  </w:style>
  <w:style w:styleId="style29" w:type="paragraph">
    <w:name w:val="List Paragraph"/>
    <w:basedOn w:val="style0"/>
    <w:next w:val="style29"/>
    <w:pPr/>
    <w:rPr/>
  </w:style>
  <w:style w:styleId="style30" w:type="paragraph">
    <w:name w:val="Header"/>
    <w:basedOn w:val="style0"/>
    <w:next w:val="style30"/>
    <w:pPr>
      <w:tabs>
        <w:tab w:leader="none" w:pos="4536" w:val="center"/>
        <w:tab w:leader="none" w:pos="9072" w:val="right"/>
      </w:tabs>
      <w:suppressLineNumbers/>
      <w:spacing w:after="0" w:before="0" w:line="100" w:lineRule="atLeast"/>
    </w:pPr>
    <w:rPr/>
  </w:style>
  <w:style w:styleId="style31" w:type="paragraph">
    <w:name w:val="Footer"/>
    <w:basedOn w:val="style0"/>
    <w:next w:val="style31"/>
    <w:pPr>
      <w:tabs>
        <w:tab w:leader="none" w:pos="4536" w:val="center"/>
        <w:tab w:leader="none" w:pos="9072" w:val="right"/>
      </w:tabs>
      <w:suppressLineNumbers/>
      <w:spacing w:after="0" w:before="0" w:line="100" w:lineRule="atLeast"/>
    </w:pPr>
    <w:rPr/>
  </w:style>
  <w:style w:styleId="style32" w:type="paragraph">
    <w:name w:val="Balloon Text"/>
    <w:basedOn w:val="style0"/>
    <w:next w:val="style32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2012-10-02T06:24:00.00Z</dcterms:created>
  <dc:creator>Kati Schuffenhauer</dc:creator>
  <cp:lastModifiedBy>Kati Schuffenhauer</cp:lastModifiedBy>
  <cp:lastPrinted>2012-10-02T09:16:00.00Z</cp:lastPrinted>
  <dcterms:modified xsi:type="dcterms:W3CDTF">2012-10-02T09:17:00.00Z</dcterms:modified>
  <cp:revision>9</cp:revision>
</cp:coreProperties>
</file>